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442" w:rsidRDefault="00FA5442" w:rsidP="00731CCE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731CCE" w:rsidRDefault="006A781A" w:rsidP="00731CC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b/>
          <w:bCs/>
          <w:sz w:val="26"/>
          <w:szCs w:val="26"/>
        </w:rPr>
        <w:t>Chapitre I 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C047A">
        <w:rPr>
          <w:rFonts w:ascii="Times New Roman" w:hAnsi="Times New Roman" w:cs="Times New Roman"/>
          <w:b/>
          <w:bCs/>
          <w:sz w:val="26"/>
          <w:szCs w:val="26"/>
        </w:rPr>
        <w:t>Fenton</w:t>
      </w:r>
    </w:p>
    <w:p w:rsidR="00A50D77" w:rsidRDefault="006A781A" w:rsidP="00A50D77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>Tableau I-1:</w:t>
      </w:r>
      <w:r w:rsidRPr="00B7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0D77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B7787F">
        <w:rPr>
          <w:rFonts w:ascii="Times New Roman" w:hAnsi="Times New Roman" w:cs="Times New Roman"/>
          <w:sz w:val="24"/>
          <w:szCs w:val="24"/>
        </w:rPr>
        <w:t>Réaction de compétition impliquant la consommation des radicaux HO</w:t>
      </w:r>
      <w:r w:rsidRPr="00B7787F">
        <w:rPr>
          <w:rFonts w:ascii="Times New Roman" w:hAnsi="Times New Roman" w:cs="Times New Roman"/>
          <w:sz w:val="24"/>
          <w:szCs w:val="24"/>
          <w:vertAlign w:val="superscript"/>
        </w:rPr>
        <w:t xml:space="preserve">• </w:t>
      </w:r>
      <w:r w:rsidRPr="00B7787F">
        <w:rPr>
          <w:rFonts w:ascii="Times New Roman" w:hAnsi="Times New Roman" w:cs="Times New Roman"/>
          <w:sz w:val="24"/>
          <w:szCs w:val="24"/>
        </w:rPr>
        <w:t xml:space="preserve">par </w:t>
      </w:r>
      <w:r w:rsidR="00A50D7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781A" w:rsidRPr="00A50D77" w:rsidRDefault="00A50D77" w:rsidP="00BE7913">
      <w:pPr>
        <w:tabs>
          <w:tab w:val="left" w:pos="1560"/>
          <w:tab w:val="left" w:pos="878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781A" w:rsidRPr="00B7787F">
        <w:rPr>
          <w:rFonts w:ascii="Times New Roman" w:hAnsi="Times New Roman" w:cs="Times New Roman"/>
          <w:sz w:val="24"/>
          <w:szCs w:val="24"/>
        </w:rPr>
        <w:t>ions minéraux et affectant l’efficacité de l’oxydation radicalaire</w:t>
      </w:r>
      <w:r w:rsidR="00BE7913">
        <w:rPr>
          <w:rFonts w:ascii="Times New Roman" w:hAnsi="Times New Roman" w:cs="Times New Roman"/>
          <w:sz w:val="24"/>
          <w:szCs w:val="24"/>
        </w:rPr>
        <w:t>………11</w:t>
      </w:r>
    </w:p>
    <w:p w:rsidR="00731CCE" w:rsidRDefault="006A781A" w:rsidP="006A78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 xml:space="preserve">Tableau I-2: </w:t>
      </w:r>
      <w:r w:rsidR="00A50D77">
        <w:rPr>
          <w:rFonts w:ascii="Times New Roman" w:hAnsi="Times New Roman" w:cs="Times New Roman"/>
          <w:sz w:val="24"/>
          <w:szCs w:val="24"/>
        </w:rPr>
        <w:t xml:space="preserve">     </w:t>
      </w:r>
      <w:r w:rsidRPr="00731CCE">
        <w:rPr>
          <w:rFonts w:ascii="Times New Roman" w:hAnsi="Times New Roman" w:cs="Times New Roman"/>
          <w:sz w:val="24"/>
          <w:szCs w:val="24"/>
        </w:rPr>
        <w:t>Réactions d'équilibre et constantes du mécanisme de décomposition de H</w:t>
      </w:r>
      <w:r w:rsidRPr="00731C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1CCE">
        <w:rPr>
          <w:rFonts w:ascii="Times New Roman" w:hAnsi="Times New Roman" w:cs="Times New Roman"/>
          <w:sz w:val="24"/>
          <w:szCs w:val="24"/>
        </w:rPr>
        <w:t>O</w:t>
      </w:r>
      <w:r w:rsidRPr="00731C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31CCE">
        <w:rPr>
          <w:rFonts w:ascii="Times New Roman" w:hAnsi="Times New Roman" w:cs="Times New Roman"/>
          <w:sz w:val="24"/>
          <w:szCs w:val="24"/>
        </w:rPr>
        <w:t xml:space="preserve">    </w:t>
      </w:r>
      <w:r w:rsidR="00731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81A" w:rsidRPr="00BE7913" w:rsidRDefault="00731CCE" w:rsidP="00A50D77">
      <w:pPr>
        <w:tabs>
          <w:tab w:val="left" w:pos="15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50D77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6A781A" w:rsidRPr="00731CCE">
        <w:rPr>
          <w:rFonts w:ascii="Times New Roman" w:hAnsi="Times New Roman" w:cs="Times New Roman"/>
          <w:sz w:val="24"/>
          <w:szCs w:val="24"/>
        </w:rPr>
        <w:t>catalysée</w:t>
      </w:r>
      <w:proofErr w:type="gramEnd"/>
      <w:r w:rsidR="006A781A" w:rsidRPr="00731CCE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="006A781A" w:rsidRPr="00731CCE">
        <w:rPr>
          <w:rFonts w:ascii="Times New Roman" w:hAnsi="Times New Roman" w:cs="Times New Roman"/>
          <w:sz w:val="24"/>
          <w:szCs w:val="24"/>
        </w:rPr>
        <w:t>Fe</w:t>
      </w:r>
      <w:r w:rsidR="006A781A" w:rsidRPr="00731CCE">
        <w:rPr>
          <w:rFonts w:ascii="Times New Roman" w:hAnsi="Times New Roman" w:cs="Times New Roman"/>
          <w:sz w:val="24"/>
          <w:szCs w:val="24"/>
          <w:vertAlign w:val="superscript"/>
        </w:rPr>
        <w:t>II</w:t>
      </w:r>
      <w:proofErr w:type="spellEnd"/>
      <w:r w:rsidR="006A781A" w:rsidRPr="00731CC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6A781A" w:rsidRPr="00731CCE">
        <w:rPr>
          <w:rFonts w:ascii="Times New Roman" w:hAnsi="Times New Roman" w:cs="Times New Roman"/>
          <w:sz w:val="24"/>
          <w:szCs w:val="24"/>
        </w:rPr>
        <w:t>Fe</w:t>
      </w:r>
      <w:r w:rsidR="006A781A" w:rsidRPr="00731CCE">
        <w:rPr>
          <w:rFonts w:ascii="Times New Roman" w:hAnsi="Times New Roman" w:cs="Times New Roman"/>
          <w:sz w:val="24"/>
          <w:szCs w:val="24"/>
          <w:vertAlign w:val="superscript"/>
        </w:rPr>
        <w:t>III</w:t>
      </w:r>
      <w:proofErr w:type="spellEnd"/>
      <w:r w:rsidR="00BE7913">
        <w:rPr>
          <w:rFonts w:ascii="Times New Roman" w:hAnsi="Times New Roman" w:cs="Times New Roman"/>
          <w:sz w:val="24"/>
          <w:szCs w:val="24"/>
        </w:rPr>
        <w:t>…………………………….......................................21</w:t>
      </w:r>
    </w:p>
    <w:p w:rsidR="00731CCE" w:rsidRDefault="00731CCE" w:rsidP="006A78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731CCE" w:rsidRDefault="00731CCE" w:rsidP="00731CC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3C047A">
        <w:rPr>
          <w:rFonts w:ascii="Times New Roman" w:hAnsi="Times New Roman" w:cs="Times New Roman"/>
          <w:b/>
          <w:bCs/>
          <w:sz w:val="26"/>
          <w:szCs w:val="26"/>
        </w:rPr>
        <w:t>Chapitre I</w:t>
      </w:r>
      <w:r>
        <w:rPr>
          <w:rFonts w:ascii="Times New Roman" w:hAnsi="Times New Roman" w:cs="Times New Roman"/>
          <w:b/>
          <w:bCs/>
          <w:sz w:val="26"/>
          <w:szCs w:val="26"/>
        </w:rPr>
        <w:t>V</w:t>
      </w:r>
      <w:r w:rsidRPr="003C047A">
        <w:rPr>
          <w:rFonts w:ascii="Times New Roman" w:hAnsi="Times New Roman" w:cs="Times New Roman"/>
          <w:b/>
          <w:bCs/>
          <w:sz w:val="26"/>
          <w:szCs w:val="26"/>
        </w:rPr>
        <w:t> 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Partie expérimentale</w:t>
      </w:r>
    </w:p>
    <w:p w:rsidR="006A781A" w:rsidRPr="00731CCE" w:rsidRDefault="006A781A" w:rsidP="00A50D77">
      <w:pPr>
        <w:tabs>
          <w:tab w:val="left" w:pos="15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 xml:space="preserve">Tableau </w:t>
      </w:r>
      <w:r w:rsidR="00A50D77">
        <w:rPr>
          <w:rFonts w:ascii="Times New Roman" w:hAnsi="Times New Roman" w:cs="Times New Roman"/>
          <w:sz w:val="24"/>
          <w:szCs w:val="24"/>
        </w:rPr>
        <w:t>IV-1</w:t>
      </w:r>
      <w:r w:rsidRPr="00731CCE">
        <w:rPr>
          <w:rFonts w:ascii="Times New Roman" w:hAnsi="Times New Roman" w:cs="Times New Roman"/>
          <w:sz w:val="24"/>
          <w:szCs w:val="24"/>
        </w:rPr>
        <w:t xml:space="preserve">: </w:t>
      </w:r>
      <w:r w:rsidR="00A50D77">
        <w:rPr>
          <w:rFonts w:ascii="Times New Roman" w:hAnsi="Times New Roman" w:cs="Times New Roman"/>
          <w:sz w:val="24"/>
          <w:szCs w:val="24"/>
        </w:rPr>
        <w:t xml:space="preserve">  </w:t>
      </w:r>
      <w:r w:rsidRPr="00731CCE">
        <w:rPr>
          <w:rFonts w:ascii="Times New Roman" w:hAnsi="Times New Roman" w:cs="Times New Roman"/>
          <w:sz w:val="24"/>
          <w:szCs w:val="24"/>
        </w:rPr>
        <w:t xml:space="preserve">Quelques propriétés physico-chimiques du Rouge de </w:t>
      </w:r>
      <w:proofErr w:type="spellStart"/>
      <w:r w:rsidRPr="00731CCE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FA5442">
        <w:rPr>
          <w:rFonts w:ascii="Times New Roman" w:hAnsi="Times New Roman" w:cs="Times New Roman"/>
          <w:sz w:val="24"/>
          <w:szCs w:val="24"/>
        </w:rPr>
        <w:t>………….....73</w:t>
      </w:r>
    </w:p>
    <w:p w:rsidR="00731CCE" w:rsidRDefault="006A781A" w:rsidP="00A50D77">
      <w:pPr>
        <w:tabs>
          <w:tab w:val="left" w:pos="15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>Tableau IV-2</w:t>
      </w:r>
      <w:proofErr w:type="gramStart"/>
      <w:r w:rsidRPr="00731CCE">
        <w:rPr>
          <w:rFonts w:ascii="Times New Roman" w:hAnsi="Times New Roman" w:cs="Times New Roman"/>
          <w:sz w:val="24"/>
          <w:szCs w:val="24"/>
        </w:rPr>
        <w:t xml:space="preserve">: </w:t>
      </w:r>
      <w:r w:rsidR="00A50D77">
        <w:rPr>
          <w:rFonts w:ascii="Times New Roman" w:hAnsi="Times New Roman" w:cs="Times New Roman"/>
          <w:sz w:val="24"/>
          <w:szCs w:val="24"/>
        </w:rPr>
        <w:t xml:space="preserve"> </w:t>
      </w:r>
      <w:r w:rsidRPr="00731CCE">
        <w:rPr>
          <w:rFonts w:ascii="Times New Roman" w:hAnsi="Times New Roman" w:cs="Times New Roman"/>
          <w:sz w:val="24"/>
          <w:szCs w:val="24"/>
        </w:rPr>
        <w:t>Influence</w:t>
      </w:r>
      <w:proofErr w:type="gramEnd"/>
      <w:r w:rsidRPr="00731CCE">
        <w:rPr>
          <w:rFonts w:ascii="Times New Roman" w:hAnsi="Times New Roman" w:cs="Times New Roman"/>
          <w:sz w:val="24"/>
          <w:szCs w:val="24"/>
        </w:rPr>
        <w:t xml:space="preserve"> de la concentration en réactifs sur le taux de décoloration du colorant </w:t>
      </w:r>
      <w:r w:rsidR="00731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81A" w:rsidRPr="00731CCE" w:rsidRDefault="00731CCE" w:rsidP="006A781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A781A" w:rsidRPr="00731CCE">
        <w:rPr>
          <w:rFonts w:ascii="Times New Roman" w:hAnsi="Times New Roman" w:cs="Times New Roman"/>
          <w:sz w:val="24"/>
          <w:szCs w:val="24"/>
        </w:rPr>
        <w:t>RN par le procédé Fenton</w:t>
      </w:r>
      <w:r w:rsidR="00FA5442">
        <w:rPr>
          <w:rFonts w:ascii="Times New Roman" w:hAnsi="Times New Roman" w:cs="Times New Roman"/>
          <w:sz w:val="24"/>
          <w:szCs w:val="24"/>
        </w:rPr>
        <w:t>……………………………………………………83</w:t>
      </w:r>
    </w:p>
    <w:p w:rsidR="00731CCE" w:rsidRDefault="006A781A" w:rsidP="00A50D77">
      <w:pPr>
        <w:tabs>
          <w:tab w:val="left" w:pos="15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 xml:space="preserve">Tableau IV-3: </w:t>
      </w:r>
      <w:r w:rsidR="00A50D77">
        <w:rPr>
          <w:rFonts w:ascii="Times New Roman" w:hAnsi="Times New Roman" w:cs="Times New Roman"/>
          <w:sz w:val="24"/>
          <w:szCs w:val="24"/>
        </w:rPr>
        <w:t xml:space="preserve">  </w:t>
      </w:r>
      <w:r w:rsidRPr="00731CCE">
        <w:rPr>
          <w:rFonts w:ascii="Times New Roman" w:hAnsi="Times New Roman" w:cs="Times New Roman"/>
          <w:sz w:val="24"/>
          <w:szCs w:val="24"/>
        </w:rPr>
        <w:t xml:space="preserve">Influence de la concentration en réactifs sur le </w:t>
      </w:r>
      <w:r w:rsidR="00731CCE">
        <w:rPr>
          <w:rFonts w:ascii="Times New Roman" w:hAnsi="Times New Roman" w:cs="Times New Roman"/>
          <w:sz w:val="24"/>
          <w:szCs w:val="24"/>
        </w:rPr>
        <w:t xml:space="preserve">taux de dégradation du colorant  </w:t>
      </w:r>
    </w:p>
    <w:p w:rsidR="006A781A" w:rsidRPr="00731CCE" w:rsidRDefault="00731CCE" w:rsidP="006A781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A781A" w:rsidRPr="00731CCE">
        <w:rPr>
          <w:rFonts w:ascii="Times New Roman" w:hAnsi="Times New Roman" w:cs="Times New Roman"/>
          <w:sz w:val="24"/>
          <w:szCs w:val="24"/>
        </w:rPr>
        <w:t>RN par procédé Fenton</w:t>
      </w:r>
      <w:r w:rsidR="00FA5442">
        <w:rPr>
          <w:rFonts w:ascii="Times New Roman" w:hAnsi="Times New Roman" w:cs="Times New Roman"/>
          <w:sz w:val="24"/>
          <w:szCs w:val="24"/>
        </w:rPr>
        <w:t>………………………………………………………91</w:t>
      </w:r>
    </w:p>
    <w:p w:rsidR="006A781A" w:rsidRPr="00731CCE" w:rsidRDefault="006A781A" w:rsidP="00A50D77">
      <w:pPr>
        <w:tabs>
          <w:tab w:val="left" w:pos="15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 xml:space="preserve">Tableau IV-7: </w:t>
      </w:r>
      <w:r w:rsidR="00A50D77">
        <w:rPr>
          <w:rFonts w:ascii="Times New Roman" w:hAnsi="Times New Roman" w:cs="Times New Roman"/>
          <w:sz w:val="24"/>
          <w:szCs w:val="24"/>
        </w:rPr>
        <w:t xml:space="preserve">  </w:t>
      </w:r>
      <w:r w:rsidRPr="00731CCE">
        <w:rPr>
          <w:rFonts w:ascii="Times New Roman" w:hAnsi="Times New Roman" w:cs="Times New Roman"/>
          <w:sz w:val="24"/>
          <w:szCs w:val="24"/>
        </w:rPr>
        <w:t>Etude du temps d’équilibre sur l’adsorption du RN</w:t>
      </w:r>
      <w:r w:rsidR="00FA5442">
        <w:rPr>
          <w:rFonts w:ascii="Times New Roman" w:hAnsi="Times New Roman" w:cs="Times New Roman"/>
          <w:sz w:val="24"/>
          <w:szCs w:val="24"/>
        </w:rPr>
        <w:t>………………………..130</w:t>
      </w:r>
    </w:p>
    <w:p w:rsidR="006A781A" w:rsidRPr="00731CCE" w:rsidRDefault="00731CCE" w:rsidP="00A50D77">
      <w:pPr>
        <w:tabs>
          <w:tab w:val="left" w:pos="505"/>
          <w:tab w:val="left" w:pos="1560"/>
        </w:tabs>
        <w:autoSpaceDE w:val="0"/>
        <w:autoSpaceDN w:val="0"/>
        <w:adjustRightInd w:val="0"/>
        <w:spacing w:line="360" w:lineRule="auto"/>
        <w:ind w:left="567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781A" w:rsidRPr="00731CCE">
        <w:rPr>
          <w:rFonts w:ascii="Times New Roman" w:hAnsi="Times New Roman" w:cs="Times New Roman"/>
          <w:sz w:val="24"/>
          <w:szCs w:val="24"/>
        </w:rPr>
        <w:t>Tableau IV-8</w:t>
      </w:r>
      <w:proofErr w:type="gramStart"/>
      <w:r w:rsidR="006A781A" w:rsidRPr="00731CCE">
        <w:rPr>
          <w:rFonts w:ascii="Times New Roman" w:hAnsi="Times New Roman" w:cs="Times New Roman"/>
          <w:sz w:val="24"/>
          <w:szCs w:val="24"/>
        </w:rPr>
        <w:t xml:space="preserve">: </w:t>
      </w:r>
      <w:r w:rsidR="00A50D77">
        <w:rPr>
          <w:rFonts w:ascii="Times New Roman" w:hAnsi="Times New Roman" w:cs="Times New Roman"/>
          <w:sz w:val="24"/>
          <w:szCs w:val="24"/>
        </w:rPr>
        <w:t xml:space="preserve"> </w:t>
      </w:r>
      <w:r w:rsidR="006A781A" w:rsidRPr="00731CCE">
        <w:rPr>
          <w:rFonts w:ascii="Times New Roman" w:hAnsi="Times New Roman" w:cs="Times New Roman"/>
          <w:sz w:val="24"/>
          <w:szCs w:val="24"/>
        </w:rPr>
        <w:t>Etude</w:t>
      </w:r>
      <w:proofErr w:type="gramEnd"/>
      <w:r w:rsidR="006A781A" w:rsidRPr="00731CCE">
        <w:rPr>
          <w:rFonts w:ascii="Times New Roman" w:hAnsi="Times New Roman" w:cs="Times New Roman"/>
          <w:sz w:val="24"/>
          <w:szCs w:val="24"/>
        </w:rPr>
        <w:t xml:space="preserve"> de l’effet de la dose sur l’adsorption du RN. (C</w:t>
      </w:r>
      <w:r w:rsidR="006A781A" w:rsidRPr="00731CCE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6A781A" w:rsidRPr="00731CCE">
        <w:rPr>
          <w:rFonts w:ascii="Times New Roman" w:hAnsi="Times New Roman" w:cs="Times New Roman"/>
          <w:sz w:val="24"/>
          <w:szCs w:val="24"/>
        </w:rPr>
        <w:t>=200mg/L)</w:t>
      </w:r>
      <w:r w:rsidR="00FA5442">
        <w:rPr>
          <w:rFonts w:ascii="Times New Roman" w:hAnsi="Times New Roman" w:cs="Times New Roman"/>
          <w:sz w:val="24"/>
          <w:szCs w:val="24"/>
        </w:rPr>
        <w:t>………..132</w:t>
      </w:r>
    </w:p>
    <w:p w:rsidR="006A781A" w:rsidRPr="00731CCE" w:rsidRDefault="006A781A" w:rsidP="00A50D77">
      <w:pPr>
        <w:tabs>
          <w:tab w:val="left" w:pos="505"/>
          <w:tab w:val="left" w:pos="15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 xml:space="preserve">Tableau IV-9: </w:t>
      </w:r>
      <w:r w:rsidR="00A50D77">
        <w:rPr>
          <w:rFonts w:ascii="Times New Roman" w:hAnsi="Times New Roman" w:cs="Times New Roman"/>
          <w:sz w:val="24"/>
          <w:szCs w:val="24"/>
        </w:rPr>
        <w:t xml:space="preserve">  </w:t>
      </w:r>
      <w:r w:rsidRPr="00731CCE">
        <w:rPr>
          <w:rFonts w:ascii="Times New Roman" w:hAnsi="Times New Roman" w:cs="Times New Roman"/>
          <w:sz w:val="24"/>
          <w:szCs w:val="24"/>
        </w:rPr>
        <w:t>Influence de pH de la solution initiale sur l’adsorption du RN</w:t>
      </w:r>
      <w:r w:rsidR="00FA5442">
        <w:rPr>
          <w:rFonts w:ascii="Times New Roman" w:hAnsi="Times New Roman" w:cs="Times New Roman"/>
          <w:sz w:val="24"/>
          <w:szCs w:val="24"/>
        </w:rPr>
        <w:t>…………….134</w:t>
      </w:r>
    </w:p>
    <w:p w:rsidR="006A781A" w:rsidRPr="00731CCE" w:rsidRDefault="006A781A" w:rsidP="006A781A">
      <w:pPr>
        <w:tabs>
          <w:tab w:val="left" w:pos="505"/>
        </w:tabs>
        <w:autoSpaceDE w:val="0"/>
        <w:autoSpaceDN w:val="0"/>
        <w:adjustRightInd w:val="0"/>
        <w:spacing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>Tableau IV-10: Résultats  de l’effet de la température sur l’adsorption du RN</w:t>
      </w:r>
      <w:r w:rsidR="00FA5442">
        <w:rPr>
          <w:rFonts w:ascii="Times New Roman" w:hAnsi="Times New Roman" w:cs="Times New Roman"/>
          <w:sz w:val="24"/>
          <w:szCs w:val="24"/>
        </w:rPr>
        <w:t>…………….135</w:t>
      </w:r>
    </w:p>
    <w:p w:rsidR="006A781A" w:rsidRPr="00731CCE" w:rsidRDefault="006A781A" w:rsidP="006A781A">
      <w:pPr>
        <w:tabs>
          <w:tab w:val="left" w:pos="2713"/>
        </w:tabs>
        <w:spacing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 xml:space="preserve">Tableau IV-11: Résultats de l’isotherme d’adsorption du rouge de </w:t>
      </w:r>
      <w:proofErr w:type="spellStart"/>
      <w:r w:rsidRPr="00731CCE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FA5442">
        <w:rPr>
          <w:rFonts w:ascii="Times New Roman" w:hAnsi="Times New Roman" w:cs="Times New Roman"/>
          <w:sz w:val="24"/>
          <w:szCs w:val="24"/>
        </w:rPr>
        <w:t>……………...138</w:t>
      </w:r>
    </w:p>
    <w:p w:rsidR="006A781A" w:rsidRPr="00731CCE" w:rsidRDefault="006A781A" w:rsidP="00A50D77">
      <w:pPr>
        <w:tabs>
          <w:tab w:val="left" w:pos="705"/>
          <w:tab w:val="left" w:pos="1103"/>
          <w:tab w:val="left" w:pos="1560"/>
        </w:tabs>
        <w:spacing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>Tableau IV-12: Constantes de Langmuir et de Freundlich pour l’adsorption du RN</w:t>
      </w:r>
      <w:r w:rsidR="00FA5442">
        <w:rPr>
          <w:rFonts w:ascii="Times New Roman" w:hAnsi="Times New Roman" w:cs="Times New Roman"/>
          <w:sz w:val="24"/>
          <w:szCs w:val="24"/>
        </w:rPr>
        <w:t>……….141</w:t>
      </w:r>
    </w:p>
    <w:p w:rsidR="00731CCE" w:rsidRDefault="006A781A" w:rsidP="00731C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CCE">
        <w:rPr>
          <w:rFonts w:ascii="Times New Roman" w:hAnsi="Times New Roman" w:cs="Times New Roman"/>
          <w:sz w:val="24"/>
          <w:szCs w:val="24"/>
        </w:rPr>
        <w:t>Tableau IV-13: Comparaison de performance de décoloration du colorant RN par les</w:t>
      </w:r>
      <w:r w:rsidR="00731CC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44D2D" w:rsidRDefault="00731CCE" w:rsidP="00FA54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6A781A" w:rsidRPr="00731CCE">
        <w:rPr>
          <w:rFonts w:ascii="Times New Roman" w:hAnsi="Times New Roman" w:cs="Times New Roman"/>
          <w:sz w:val="24"/>
          <w:szCs w:val="24"/>
        </w:rPr>
        <w:t>différents</w:t>
      </w:r>
      <w:proofErr w:type="gramEnd"/>
      <w:r w:rsidR="006A781A" w:rsidRPr="00731CCE">
        <w:rPr>
          <w:rFonts w:ascii="Times New Roman" w:hAnsi="Times New Roman" w:cs="Times New Roman"/>
          <w:sz w:val="24"/>
          <w:szCs w:val="24"/>
        </w:rPr>
        <w:t xml:space="preserve"> procédés</w:t>
      </w:r>
      <w:r w:rsidR="00FA5442">
        <w:rPr>
          <w:rFonts w:ascii="Times New Roman" w:hAnsi="Times New Roman" w:cs="Times New Roman"/>
          <w:sz w:val="24"/>
          <w:szCs w:val="24"/>
        </w:rPr>
        <w:t>………………………………………………………...142</w:t>
      </w:r>
      <w:r w:rsidR="006A781A" w:rsidRPr="00731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442" w:rsidRPr="00FA5442" w:rsidRDefault="00FA5442" w:rsidP="00FA54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CCE" w:rsidRDefault="00731CCE" w:rsidP="00731CC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4B53">
        <w:rPr>
          <w:rFonts w:ascii="Times New Roman" w:hAnsi="Times New Roman" w:cs="Times New Roman"/>
          <w:b/>
          <w:bCs/>
          <w:sz w:val="24"/>
          <w:szCs w:val="24"/>
        </w:rPr>
        <w:t>Annexe A</w:t>
      </w:r>
    </w:p>
    <w:p w:rsidR="00BE7913" w:rsidRDefault="00731CCE" w:rsidP="00A50D77">
      <w:pPr>
        <w:tabs>
          <w:tab w:val="left" w:pos="1276"/>
          <w:tab w:val="left" w:pos="1560"/>
        </w:tabs>
        <w:spacing w:line="360" w:lineRule="auto"/>
        <w:jc w:val="both"/>
        <w:rPr>
          <w:rFonts w:ascii="TimesNewRomanPS-BoldMT" w:hAnsi="TimesNewRomanPS-BoldMT" w:cs="TimesNewRomanPS-BoldMT"/>
          <w:sz w:val="24"/>
          <w:szCs w:val="24"/>
        </w:rPr>
      </w:pPr>
      <w:r w:rsidRPr="00731CCE">
        <w:rPr>
          <w:rFonts w:ascii="TimesNewRomanPS-BoldMT" w:hAnsi="TimesNewRomanPS-BoldMT" w:cs="TimesNewRomanPS-BoldMT"/>
          <w:sz w:val="24"/>
          <w:szCs w:val="24"/>
        </w:rPr>
        <w:t>Tableau A-1: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sz w:val="24"/>
          <w:szCs w:val="24"/>
        </w:rPr>
        <w:t>P</w:t>
      </w:r>
      <w:r w:rsidRPr="006D4AD5">
        <w:rPr>
          <w:rFonts w:ascii="TimesNewRomanPS-BoldMT" w:hAnsi="TimesNewRomanPS-BoldMT" w:cs="TimesNewRomanPS-BoldMT"/>
          <w:sz w:val="24"/>
          <w:szCs w:val="24"/>
        </w:rPr>
        <w:t>otentiel d’oxydoréduction d’agents oxydants</w:t>
      </w:r>
      <w:r>
        <w:rPr>
          <w:rFonts w:ascii="TimesNewRomanPS-BoldMT" w:hAnsi="TimesNewRomanPS-BoldMT" w:cs="TimesNewRomanPS-BoldMT"/>
          <w:sz w:val="24"/>
          <w:szCs w:val="24"/>
        </w:rPr>
        <w:t xml:space="preserve"> </w:t>
      </w:r>
      <w:r w:rsidRPr="006D4AD5">
        <w:rPr>
          <w:rFonts w:ascii="TimesNewRomanPS-BoldMT" w:hAnsi="TimesNewRomanPS-BoldMT" w:cs="TimesNewRomanPS-BoldMT"/>
          <w:sz w:val="24"/>
          <w:szCs w:val="24"/>
        </w:rPr>
        <w:t xml:space="preserve">en milieu acide, pH=0 et </w:t>
      </w:r>
      <w:r w:rsidR="00BE7913">
        <w:rPr>
          <w:rFonts w:ascii="TimesNewRomanPS-BoldMT" w:hAnsi="TimesNewRomanPS-BoldMT" w:cs="TimesNewRomanPS-BoldMT"/>
          <w:sz w:val="24"/>
          <w:szCs w:val="24"/>
        </w:rPr>
        <w:t xml:space="preserve"> </w:t>
      </w:r>
    </w:p>
    <w:p w:rsidR="00731CCE" w:rsidRDefault="00BE7913" w:rsidP="00A50D77">
      <w:pPr>
        <w:tabs>
          <w:tab w:val="left" w:pos="1276"/>
          <w:tab w:val="left" w:pos="1560"/>
        </w:tabs>
        <w:spacing w:line="360" w:lineRule="auto"/>
        <w:jc w:val="both"/>
        <w:rPr>
          <w:rFonts w:ascii="TimesNewRomanPS-BoldMT" w:hAnsi="TimesNewRomanPS-BoldMT" w:cs="TimesNewRomanPS-BoldMT"/>
          <w:sz w:val="24"/>
          <w:szCs w:val="24"/>
        </w:rPr>
      </w:pPr>
      <w:r>
        <w:rPr>
          <w:rFonts w:ascii="TimesNewRomanPS-BoldMT" w:hAnsi="TimesNewRomanPS-BoldMT" w:cs="TimesNewRomanPS-BoldMT"/>
          <w:sz w:val="24"/>
          <w:szCs w:val="24"/>
        </w:rPr>
        <w:t xml:space="preserve">                      </w:t>
      </w:r>
      <w:r w:rsidR="00731CCE" w:rsidRPr="006D4AD5">
        <w:rPr>
          <w:rFonts w:ascii="TimesNewRomanPS-BoldMT" w:hAnsi="TimesNewRomanPS-BoldMT" w:cs="TimesNewRomanPS-BoldMT"/>
          <w:sz w:val="24"/>
          <w:szCs w:val="24"/>
        </w:rPr>
        <w:t>T=25°C</w:t>
      </w:r>
      <w:r w:rsidR="00FA5442">
        <w:rPr>
          <w:rFonts w:ascii="TimesNewRomanPS-BoldMT" w:hAnsi="TimesNewRomanPS-BoldMT" w:cs="TimesNewRomanPS-BoldMT"/>
          <w:sz w:val="24"/>
          <w:szCs w:val="24"/>
        </w:rPr>
        <w:t>………………………………………………………………………..153</w:t>
      </w:r>
    </w:p>
    <w:p w:rsidR="00344D2D" w:rsidRDefault="00344D2D" w:rsidP="00A50D77">
      <w:pPr>
        <w:tabs>
          <w:tab w:val="left" w:pos="1276"/>
          <w:tab w:val="left" w:pos="1560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1CCE" w:rsidRDefault="00731CCE" w:rsidP="00731CC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252A">
        <w:rPr>
          <w:rFonts w:ascii="Times New Roman" w:hAnsi="Times New Roman" w:cs="Times New Roman"/>
          <w:b/>
          <w:bCs/>
          <w:sz w:val="24"/>
          <w:szCs w:val="24"/>
        </w:rPr>
        <w:t>Annexe C</w:t>
      </w:r>
    </w:p>
    <w:p w:rsidR="00624181" w:rsidRDefault="00731CCE" w:rsidP="00624181">
      <w:pPr>
        <w:tabs>
          <w:tab w:val="left" w:pos="1418"/>
        </w:tabs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1CCE">
        <w:rPr>
          <w:rFonts w:ascii="Times New Roman" w:eastAsia="Calibri" w:hAnsi="Times New Roman" w:cs="Times New Roman"/>
          <w:sz w:val="24"/>
          <w:szCs w:val="24"/>
        </w:rPr>
        <w:t>Tableau C-1:</w:t>
      </w:r>
      <w:r w:rsidRPr="00EE2F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Valeurs obtenues pour l’établissement de la courbe d’étalonnage du Rouge de </w:t>
      </w:r>
      <w:r w:rsidR="0062418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31CCE" w:rsidRPr="00731CCE" w:rsidRDefault="00624181" w:rsidP="00731CC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proofErr w:type="spellStart"/>
      <w:r w:rsidR="00731CCE">
        <w:rPr>
          <w:rFonts w:ascii="Times New Roman" w:eastAsia="Calibri" w:hAnsi="Times New Roman" w:cs="Times New Roman"/>
          <w:sz w:val="24"/>
          <w:szCs w:val="24"/>
        </w:rPr>
        <w:t>Nylosane</w:t>
      </w:r>
      <w:proofErr w:type="spellEnd"/>
      <w:r w:rsidR="00731CC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731CCE" w:rsidRPr="00EE2FC9">
        <w:rPr>
          <w:rFonts w:ascii="Times New Roman" w:eastAsia="Calibri" w:hAnsi="Times New Roman" w:cs="Times New Roman"/>
          <w:sz w:val="24"/>
          <w:szCs w:val="24"/>
        </w:rPr>
        <w:t>λ</w:t>
      </w:r>
      <w:r w:rsidR="00731CCE" w:rsidRPr="00EE2FC9">
        <w:rPr>
          <w:rFonts w:ascii="Times New Roman" w:eastAsia="Calibri" w:hAnsi="Times New Roman" w:cs="Times New Roman"/>
          <w:sz w:val="24"/>
          <w:szCs w:val="24"/>
          <w:vertAlign w:val="subscript"/>
        </w:rPr>
        <w:t>max</w:t>
      </w:r>
      <w:proofErr w:type="spellEnd"/>
      <w:r w:rsidR="00731CCE" w:rsidRPr="00EE2FC9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r w:rsidR="00731CCE">
        <w:rPr>
          <w:rFonts w:ascii="Times New Roman" w:eastAsia="Calibri" w:hAnsi="Times New Roman" w:cs="Times New Roman"/>
          <w:sz w:val="24"/>
          <w:szCs w:val="24"/>
        </w:rPr>
        <w:t>500</w:t>
      </w:r>
      <w:r w:rsidR="00731CCE" w:rsidRPr="00EE2FC9">
        <w:rPr>
          <w:rFonts w:ascii="Times New Roman" w:eastAsia="Calibri" w:hAnsi="Times New Roman" w:cs="Times New Roman"/>
          <w:sz w:val="24"/>
          <w:szCs w:val="24"/>
        </w:rPr>
        <w:t xml:space="preserve"> nm</w:t>
      </w:r>
      <w:r w:rsidR="00731CCE">
        <w:rPr>
          <w:rFonts w:ascii="Times New Roman" w:eastAsia="Calibri" w:hAnsi="Times New Roman" w:cs="Times New Roman"/>
          <w:sz w:val="24"/>
          <w:szCs w:val="24"/>
        </w:rPr>
        <w:t>)</w:t>
      </w:r>
      <w:r w:rsidR="00BE7913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…………………………………………………….16</w:t>
      </w:r>
      <w:r w:rsidR="00FA5442">
        <w:rPr>
          <w:rFonts w:ascii="Times New Roman" w:eastAsia="Calibri" w:hAnsi="Times New Roman" w:cs="Times New Roman"/>
          <w:sz w:val="24"/>
          <w:szCs w:val="24"/>
        </w:rPr>
        <w:t>3</w:t>
      </w:r>
    </w:p>
    <w:p w:rsidR="00624181" w:rsidRDefault="00731CCE" w:rsidP="00731CCE">
      <w:pPr>
        <w:tabs>
          <w:tab w:val="left" w:pos="505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31CCE">
        <w:rPr>
          <w:rFonts w:ascii="Times New Roman" w:hAnsi="Times New Roman" w:cs="Times New Roman"/>
          <w:bCs/>
          <w:sz w:val="24"/>
          <w:szCs w:val="24"/>
        </w:rPr>
        <w:t>Tableau C-2:</w:t>
      </w:r>
      <w:r w:rsidRPr="00BB7430">
        <w:rPr>
          <w:rFonts w:ascii="Times New Roman" w:hAnsi="Times New Roman" w:cs="Times New Roman"/>
          <w:sz w:val="24"/>
          <w:szCs w:val="24"/>
        </w:rPr>
        <w:t xml:space="preserve"> Etude du temps d’équilibre sur l’adsorption du </w:t>
      </w:r>
      <w:r>
        <w:rPr>
          <w:rFonts w:ascii="Times New Roman" w:hAnsi="Times New Roman" w:cs="Times New Roman"/>
          <w:sz w:val="24"/>
          <w:szCs w:val="24"/>
        </w:rPr>
        <w:t xml:space="preserve">Rouge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Pr="00BE1D4A">
        <w:rPr>
          <w:rFonts w:ascii="Times New Roman" w:hAnsi="Times New Roman" w:cs="Times New Roman"/>
          <w:bCs/>
          <w:sz w:val="24"/>
          <w:szCs w:val="24"/>
        </w:rPr>
        <w:t>.</w:t>
      </w:r>
      <w:r w:rsidR="006241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731CCE" w:rsidRPr="00F942C4" w:rsidRDefault="00624181" w:rsidP="00731CCE">
      <w:pPr>
        <w:tabs>
          <w:tab w:val="left" w:pos="505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</w:t>
      </w:r>
      <w:r w:rsidR="00731CCE" w:rsidRPr="00B3587C">
        <w:rPr>
          <w:rFonts w:ascii="Times New Roman" w:hAnsi="Times New Roman" w:cs="Times New Roman"/>
          <w:sz w:val="24"/>
          <w:szCs w:val="24"/>
        </w:rPr>
        <w:t>(C</w:t>
      </w:r>
      <w:r w:rsidR="00731CCE" w:rsidRPr="00B3587C">
        <w:rPr>
          <w:rFonts w:ascii="Times New Roman" w:hAnsi="Times New Roman" w:cs="Times New Roman"/>
          <w:sz w:val="24"/>
          <w:szCs w:val="24"/>
          <w:vertAlign w:val="subscript"/>
        </w:rPr>
        <w:t>0(RN)</w:t>
      </w:r>
      <w:r w:rsidR="00731CCE" w:rsidRPr="00B3587C">
        <w:rPr>
          <w:rFonts w:ascii="Times New Roman" w:hAnsi="Times New Roman" w:cs="Times New Roman"/>
          <w:sz w:val="24"/>
          <w:szCs w:val="24"/>
        </w:rPr>
        <w:t>=200mg/L)</w:t>
      </w:r>
      <w:r w:rsidR="00BE7913">
        <w:rPr>
          <w:rFonts w:ascii="Times New Roman" w:hAnsi="Times New Roman" w:cs="Times New Roman"/>
          <w:sz w:val="24"/>
          <w:szCs w:val="24"/>
        </w:rPr>
        <w:t>……………………………………………………………..16</w:t>
      </w:r>
      <w:r w:rsidR="00FA5442">
        <w:rPr>
          <w:rFonts w:ascii="Times New Roman" w:hAnsi="Times New Roman" w:cs="Times New Roman"/>
          <w:sz w:val="24"/>
          <w:szCs w:val="24"/>
        </w:rPr>
        <w:t>3</w:t>
      </w:r>
    </w:p>
    <w:p w:rsidR="00731CCE" w:rsidRPr="00731CCE" w:rsidRDefault="00731CCE" w:rsidP="00731C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A19" w:rsidRPr="00731CCE" w:rsidRDefault="00124A19"/>
    <w:sectPr w:rsidR="00124A19" w:rsidRPr="00731CCE" w:rsidSect="00124A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7B8" w:rsidRDefault="007967B8" w:rsidP="006A781A">
      <w:pPr>
        <w:spacing w:after="0" w:line="240" w:lineRule="auto"/>
      </w:pPr>
      <w:r>
        <w:separator/>
      </w:r>
    </w:p>
  </w:endnote>
  <w:endnote w:type="continuationSeparator" w:id="1">
    <w:p w:rsidR="007967B8" w:rsidRDefault="007967B8" w:rsidP="006A7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7B8" w:rsidRDefault="007967B8" w:rsidP="006A781A">
      <w:pPr>
        <w:spacing w:after="0" w:line="240" w:lineRule="auto"/>
      </w:pPr>
      <w:r>
        <w:separator/>
      </w:r>
    </w:p>
  </w:footnote>
  <w:footnote w:type="continuationSeparator" w:id="1">
    <w:p w:rsidR="007967B8" w:rsidRDefault="007967B8" w:rsidP="006A7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D9574C89E9934D6EB80FAC73271673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A781A" w:rsidRDefault="006A781A" w:rsidP="006A781A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A781A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LISTE DES TABLEAUX</w:t>
        </w:r>
      </w:p>
    </w:sdtContent>
  </w:sdt>
  <w:p w:rsidR="006A781A" w:rsidRDefault="006A781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81A"/>
    <w:rsid w:val="00124A19"/>
    <w:rsid w:val="00344D2D"/>
    <w:rsid w:val="00587DE7"/>
    <w:rsid w:val="00624181"/>
    <w:rsid w:val="006A781A"/>
    <w:rsid w:val="00731CCE"/>
    <w:rsid w:val="007967B8"/>
    <w:rsid w:val="0081688B"/>
    <w:rsid w:val="0086636B"/>
    <w:rsid w:val="009C7BFD"/>
    <w:rsid w:val="00A413C6"/>
    <w:rsid w:val="00A50D77"/>
    <w:rsid w:val="00BE7913"/>
    <w:rsid w:val="00C62F93"/>
    <w:rsid w:val="00CD5630"/>
    <w:rsid w:val="00FA5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7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781A"/>
  </w:style>
  <w:style w:type="paragraph" w:styleId="Pieddepage">
    <w:name w:val="footer"/>
    <w:basedOn w:val="Normal"/>
    <w:link w:val="PieddepageCar"/>
    <w:uiPriority w:val="99"/>
    <w:semiHidden/>
    <w:unhideWhenUsed/>
    <w:rsid w:val="006A7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A781A"/>
  </w:style>
  <w:style w:type="paragraph" w:styleId="Textedebulles">
    <w:name w:val="Balloon Text"/>
    <w:basedOn w:val="Normal"/>
    <w:link w:val="TextedebullesCar"/>
    <w:uiPriority w:val="99"/>
    <w:semiHidden/>
    <w:unhideWhenUsed/>
    <w:rsid w:val="006A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8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9574C89E9934D6EB80FAC73271673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4DA867-84C3-4747-B9DF-F8AB8546E66B}"/>
      </w:docPartPr>
      <w:docPartBody>
        <w:p w:rsidR="00DD78D3" w:rsidRDefault="000673D3" w:rsidP="000673D3">
          <w:pPr>
            <w:pStyle w:val="D9574C89E9934D6EB80FAC73271673C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673D3"/>
    <w:rsid w:val="000673D3"/>
    <w:rsid w:val="000C3DF2"/>
    <w:rsid w:val="006962CF"/>
    <w:rsid w:val="00DD78D3"/>
    <w:rsid w:val="00EF04A3"/>
    <w:rsid w:val="00FB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8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9574C89E9934D6EB80FAC73271673C4">
    <w:name w:val="D9574C89E9934D6EB80FAC73271673C4"/>
    <w:rsid w:val="000673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LISTE DES TABLEAUX</vt:lpstr>
    </vt:vector>
  </TitlesOfParts>
  <Company>Sweet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TABLEAUX</dc:title>
  <dc:subject/>
  <dc:creator>SWEET</dc:creator>
  <cp:keywords/>
  <dc:description/>
  <cp:lastModifiedBy>SWEET</cp:lastModifiedBy>
  <cp:revision>5</cp:revision>
  <cp:lastPrinted>2009-08-04T06:44:00Z</cp:lastPrinted>
  <dcterms:created xsi:type="dcterms:W3CDTF">2009-06-24T22:08:00Z</dcterms:created>
  <dcterms:modified xsi:type="dcterms:W3CDTF">2009-08-04T06:55:00Z</dcterms:modified>
</cp:coreProperties>
</file>